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8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9A3F64">
        <w:rPr>
          <w:rFonts w:asciiTheme="majorBidi" w:hAnsiTheme="majorBidi" w:cstheme="majorBidi"/>
          <w:sz w:val="28"/>
          <w:szCs w:val="28"/>
        </w:rPr>
        <w:t>М</w:t>
      </w:r>
      <w:r w:rsidR="00620C9A" w:rsidRPr="00D53418">
        <w:rPr>
          <w:rFonts w:asciiTheme="majorBidi" w:hAnsiTheme="majorBidi" w:cstheme="majorBidi"/>
          <w:sz w:val="28"/>
          <w:szCs w:val="28"/>
        </w:rPr>
        <w:t>униципальное бюджетное общеобразовательное учреждение</w:t>
      </w:r>
      <w:r w:rsidR="00D53418">
        <w:rPr>
          <w:rFonts w:asciiTheme="majorBidi" w:hAnsiTheme="majorBidi" w:cstheme="majorBidi"/>
          <w:sz w:val="28"/>
          <w:szCs w:val="28"/>
        </w:rPr>
        <w:t xml:space="preserve"> г. Хабаровска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D53418">
        <w:rPr>
          <w:rFonts w:asciiTheme="majorBidi" w:hAnsiTheme="majorBidi" w:cstheme="majorBidi"/>
          <w:sz w:val="28"/>
          <w:szCs w:val="28"/>
        </w:rPr>
        <w:t xml:space="preserve"> "</w:t>
      </w:r>
      <w:r w:rsidR="00D53418">
        <w:rPr>
          <w:rFonts w:asciiTheme="majorBidi" w:hAnsiTheme="majorBidi" w:cstheme="majorBidi"/>
          <w:sz w:val="28"/>
          <w:szCs w:val="28"/>
        </w:rPr>
        <w:t>С</w:t>
      </w:r>
      <w:r w:rsidRPr="00D53418">
        <w:rPr>
          <w:rFonts w:asciiTheme="majorBidi" w:hAnsiTheme="majorBidi" w:cstheme="majorBidi"/>
          <w:sz w:val="28"/>
          <w:szCs w:val="28"/>
        </w:rPr>
        <w:t>редняя школа № 83  "</w:t>
      </w:r>
    </w:p>
    <w:p w:rsidR="00D53418" w:rsidRDefault="00D5341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(МБОУ «СШ № 83»</w:t>
      </w:r>
      <w:r w:rsidR="002168C8">
        <w:rPr>
          <w:rFonts w:asciiTheme="majorBidi" w:hAnsiTheme="majorBidi" w:cstheme="majorBidi"/>
          <w:sz w:val="28"/>
          <w:szCs w:val="28"/>
        </w:rPr>
        <w:t>)</w:t>
      </w:r>
      <w:bookmarkStart w:id="0" w:name="_GoBack"/>
      <w:bookmarkEnd w:id="0"/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CD6DE0" w:rsidRPr="006E1004" w:rsidTr="00FF08D7">
        <w:trPr>
          <w:jc w:val="center"/>
        </w:trPr>
        <w:tc>
          <w:tcPr>
            <w:tcW w:w="3273" w:type="dxa"/>
          </w:tcPr>
          <w:p w:rsidR="00CD6DE0" w:rsidRPr="009C7188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CD6DE0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 педагогическом совете</w:t>
            </w: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____</w:t>
            </w: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«_____» _______ 2024г</w:t>
            </w:r>
          </w:p>
          <w:p w:rsidR="00CD6DE0" w:rsidRPr="00C521EF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6DE0" w:rsidRPr="00C521EF" w:rsidRDefault="00CD6DE0" w:rsidP="00FF08D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6DE0" w:rsidRPr="00C521EF" w:rsidRDefault="00CD6DE0" w:rsidP="009A3F6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CD6DE0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 И.А. Агафонова</w:t>
            </w: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_______</w:t>
            </w:r>
          </w:p>
          <w:p w:rsidR="00CD6DE0" w:rsidRPr="00E820A5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E820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«_______» ________ 2024г</w:t>
            </w:r>
          </w:p>
          <w:p w:rsidR="00CD6DE0" w:rsidRPr="00C521EF" w:rsidRDefault="00CD6DE0" w:rsidP="00FF08D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D53418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CD6DE0">
      <w:pPr>
        <w:rPr>
          <w:rFonts w:asciiTheme="majorBidi" w:hAnsiTheme="majorBidi" w:cstheme="majorBidi"/>
          <w:sz w:val="28"/>
          <w:szCs w:val="28"/>
        </w:rPr>
      </w:pPr>
    </w:p>
    <w:p w:rsidR="00620C9A" w:rsidRPr="00D53418" w:rsidRDefault="00620C9A" w:rsidP="00D53418">
      <w:pPr>
        <w:rPr>
          <w:rFonts w:asciiTheme="majorBidi" w:hAnsiTheme="majorBidi" w:cstheme="majorBidi"/>
          <w:sz w:val="36"/>
          <w:szCs w:val="28"/>
        </w:rPr>
      </w:pPr>
    </w:p>
    <w:p w:rsidR="00620C9A" w:rsidRPr="00D53418" w:rsidRDefault="00620C9A" w:rsidP="00620C9A">
      <w:pPr>
        <w:jc w:val="center"/>
        <w:rPr>
          <w:rFonts w:asciiTheme="majorBidi" w:hAnsiTheme="majorBidi" w:cstheme="majorBidi"/>
          <w:sz w:val="36"/>
          <w:szCs w:val="28"/>
        </w:rPr>
      </w:pPr>
      <w:r w:rsidRPr="00D53418">
        <w:rPr>
          <w:rFonts w:asciiTheme="majorBidi" w:hAnsiTheme="majorBidi" w:cstheme="majorBidi"/>
          <w:sz w:val="36"/>
          <w:szCs w:val="28"/>
        </w:rPr>
        <w:t>УЧЕБНЫЙ ПЛАН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36"/>
          <w:szCs w:val="28"/>
        </w:rPr>
      </w:pPr>
      <w:r w:rsidRPr="00D53418">
        <w:rPr>
          <w:rFonts w:asciiTheme="majorBidi" w:hAnsiTheme="majorBidi" w:cstheme="majorBidi"/>
          <w:sz w:val="36"/>
          <w:szCs w:val="28"/>
        </w:rPr>
        <w:t>начального общего образования</w:t>
      </w:r>
    </w:p>
    <w:p w:rsidR="00CD6DE0" w:rsidRPr="00D53418" w:rsidRDefault="00CD6DE0" w:rsidP="00620C9A">
      <w:pPr>
        <w:jc w:val="center"/>
        <w:rPr>
          <w:rFonts w:asciiTheme="majorBidi" w:hAnsiTheme="majorBidi" w:cstheme="majorBidi"/>
          <w:sz w:val="36"/>
          <w:szCs w:val="28"/>
        </w:rPr>
      </w:pPr>
      <w:r>
        <w:rPr>
          <w:rFonts w:asciiTheme="majorBidi" w:hAnsiTheme="majorBidi" w:cstheme="majorBidi"/>
          <w:sz w:val="36"/>
          <w:szCs w:val="28"/>
        </w:rPr>
        <w:t>в соответствии с ФООП</w:t>
      </w:r>
    </w:p>
    <w:p w:rsidR="00620C9A" w:rsidRPr="00D53418" w:rsidRDefault="00620C9A" w:rsidP="00620C9A">
      <w:pPr>
        <w:jc w:val="center"/>
        <w:rPr>
          <w:rFonts w:asciiTheme="majorBidi" w:hAnsiTheme="majorBidi" w:cstheme="majorBidi"/>
          <w:sz w:val="36"/>
          <w:szCs w:val="28"/>
        </w:rPr>
      </w:pPr>
      <w:r w:rsidRPr="00D53418">
        <w:rPr>
          <w:rFonts w:asciiTheme="majorBidi" w:hAnsiTheme="majorBidi" w:cstheme="majorBidi"/>
          <w:sz w:val="36"/>
          <w:szCs w:val="28"/>
        </w:rPr>
        <w:t>на 202</w:t>
      </w:r>
      <w:r w:rsidR="002C075A">
        <w:rPr>
          <w:rFonts w:asciiTheme="majorBidi" w:hAnsiTheme="majorBidi" w:cstheme="majorBidi"/>
          <w:sz w:val="36"/>
          <w:szCs w:val="28"/>
        </w:rPr>
        <w:t>4</w:t>
      </w:r>
      <w:r w:rsidRPr="00D53418">
        <w:rPr>
          <w:rFonts w:asciiTheme="majorBidi" w:hAnsiTheme="majorBidi" w:cstheme="majorBidi"/>
          <w:sz w:val="36"/>
          <w:szCs w:val="28"/>
        </w:rPr>
        <w:t xml:space="preserve"> – 202</w:t>
      </w:r>
      <w:r w:rsidR="002C075A">
        <w:rPr>
          <w:rFonts w:asciiTheme="majorBidi" w:hAnsiTheme="majorBidi" w:cstheme="majorBidi"/>
          <w:sz w:val="36"/>
          <w:szCs w:val="28"/>
        </w:rPr>
        <w:t>5</w:t>
      </w:r>
      <w:r w:rsidRPr="00D53418">
        <w:rPr>
          <w:rFonts w:asciiTheme="majorBidi" w:hAnsiTheme="majorBidi" w:cstheme="majorBidi"/>
          <w:sz w:val="36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</w:t>
      </w:r>
      <w:r w:rsidR="00D53418">
        <w:rPr>
          <w:rFonts w:asciiTheme="majorBidi" w:hAnsiTheme="majorBidi" w:cstheme="majorBidi"/>
          <w:sz w:val="28"/>
          <w:szCs w:val="28"/>
        </w:rPr>
        <w:t>ород Хабаровск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2C075A">
        <w:rPr>
          <w:rFonts w:asciiTheme="majorBidi" w:hAnsiTheme="majorBidi" w:cstheme="majorBidi"/>
          <w:sz w:val="28"/>
          <w:szCs w:val="28"/>
        </w:rPr>
        <w:t>4</w:t>
      </w:r>
      <w:r w:rsidR="00D53418">
        <w:rPr>
          <w:rFonts w:asciiTheme="majorBidi" w:hAnsiTheme="majorBidi" w:cstheme="majorBidi"/>
          <w:sz w:val="28"/>
          <w:szCs w:val="28"/>
        </w:rPr>
        <w:t>г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8E49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 xml:space="preserve">го 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учреждение 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 xml:space="preserve">г. Хабаровска 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С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редняя школа № 83  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</w:t>
      </w:r>
      <w:r w:rsidR="008E49ED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8E49ED">
        <w:rPr>
          <w:rStyle w:val="markedcontent"/>
          <w:rFonts w:asciiTheme="majorBidi" w:hAnsiTheme="majorBidi" w:cstheme="majorBidi"/>
          <w:sz w:val="28"/>
          <w:szCs w:val="28"/>
        </w:rPr>
        <w:t>МБОУ «СШ № 83»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я г. Хабаровска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С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редняя шко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ла № 83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МБОУ «СШ № 83»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D53418">
        <w:rPr>
          <w:rFonts w:asciiTheme="majorBidi" w:hAnsiTheme="majorBidi" w:cstheme="majorBidi"/>
          <w:sz w:val="28"/>
          <w:szCs w:val="28"/>
          <w:highlight w:val="yellow"/>
        </w:rPr>
        <w:t>26.05.2025</w:t>
      </w:r>
      <w:r w:rsidRPr="00D53418">
        <w:rPr>
          <w:rFonts w:asciiTheme="majorBidi" w:hAnsiTheme="majorBidi" w:cstheme="majorBidi"/>
          <w:sz w:val="28"/>
          <w:szCs w:val="28"/>
          <w:highlight w:val="yellow"/>
        </w:rPr>
        <w:t>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</w:t>
      </w:r>
      <w:r w:rsidR="00925426">
        <w:rPr>
          <w:rStyle w:val="markedcontent"/>
          <w:rFonts w:asciiTheme="majorBidi" w:hAnsiTheme="majorBidi" w:cstheme="majorBidi"/>
          <w:sz w:val="28"/>
          <w:szCs w:val="28"/>
        </w:rPr>
        <w:t>:</w:t>
      </w:r>
    </w:p>
    <w:p w:rsidR="00D711D7" w:rsidRPr="00D711D7" w:rsidRDefault="00925426" w:rsidP="00D711D7">
      <w:pPr>
        <w:pStyle w:val="aa"/>
        <w:ind w:left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1. 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«Русский язык и литературное чтение»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предметами </w:t>
      </w:r>
      <w:r w:rsidR="00D711D7" w:rsidRPr="00D711D7">
        <w:rPr>
          <w:rFonts w:ascii="Times New Roman" w:hAnsi="Times New Roman" w:cs="Times New Roman"/>
          <w:i/>
          <w:sz w:val="28"/>
        </w:rPr>
        <w:t xml:space="preserve">«Русский язык», «Литературное чтение» </w:t>
      </w:r>
    </w:p>
    <w:p w:rsidR="00D711D7" w:rsidRDefault="00D711D7" w:rsidP="00D711D7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4026B0">
        <w:rPr>
          <w:rFonts w:ascii="Times New Roman" w:hAnsi="Times New Roman" w:cs="Times New Roman"/>
          <w:sz w:val="28"/>
        </w:rPr>
        <w:t xml:space="preserve">. </w:t>
      </w:r>
      <w:r w:rsidR="00925426">
        <w:rPr>
          <w:rFonts w:ascii="Times New Roman" w:hAnsi="Times New Roman" w:cs="Times New Roman"/>
          <w:sz w:val="28"/>
        </w:rPr>
        <w:t>Предметная</w:t>
      </w:r>
      <w:r w:rsidRPr="004026B0">
        <w:rPr>
          <w:rFonts w:ascii="Times New Roman" w:hAnsi="Times New Roman" w:cs="Times New Roman"/>
          <w:sz w:val="28"/>
        </w:rPr>
        <w:t xml:space="preserve"> область </w:t>
      </w:r>
      <w:r w:rsidRPr="00D711D7">
        <w:rPr>
          <w:rFonts w:ascii="Times New Roman" w:hAnsi="Times New Roman" w:cs="Times New Roman"/>
          <w:b/>
          <w:i/>
          <w:sz w:val="28"/>
        </w:rPr>
        <w:t>«Иностранный язык»</w:t>
      </w:r>
      <w:r w:rsidRPr="004026B0">
        <w:rPr>
          <w:rFonts w:ascii="Times New Roman" w:hAnsi="Times New Roman" w:cs="Times New Roman"/>
          <w:sz w:val="28"/>
        </w:rPr>
        <w:t xml:space="preserve"> представлена предметом </w:t>
      </w:r>
      <w:r w:rsidRPr="00D711D7">
        <w:rPr>
          <w:rFonts w:ascii="Times New Roman" w:hAnsi="Times New Roman" w:cs="Times New Roman"/>
          <w:i/>
          <w:sz w:val="28"/>
        </w:rPr>
        <w:t>«Иностранный язык»</w:t>
      </w:r>
      <w:r w:rsidRPr="004026B0">
        <w:rPr>
          <w:rFonts w:ascii="Times New Roman" w:hAnsi="Times New Roman" w:cs="Times New Roman"/>
          <w:sz w:val="28"/>
        </w:rPr>
        <w:t xml:space="preserve"> (английский язык). </w:t>
      </w:r>
    </w:p>
    <w:p w:rsidR="00D711D7" w:rsidRDefault="00925426" w:rsidP="00D711D7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«Математика и информатика»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предметом </w:t>
      </w:r>
      <w:r w:rsidR="00D711D7" w:rsidRPr="00D711D7">
        <w:rPr>
          <w:rFonts w:ascii="Times New Roman" w:hAnsi="Times New Roman" w:cs="Times New Roman"/>
          <w:i/>
          <w:sz w:val="28"/>
        </w:rPr>
        <w:t>«Математика»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</w:p>
    <w:p w:rsidR="00D711D7" w:rsidRDefault="00925426" w:rsidP="00D711D7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«Обществознание и естествознание»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предметом </w:t>
      </w:r>
      <w:r w:rsidR="00D711D7" w:rsidRPr="00D711D7">
        <w:rPr>
          <w:rFonts w:ascii="Times New Roman" w:hAnsi="Times New Roman" w:cs="Times New Roman"/>
          <w:i/>
          <w:sz w:val="28"/>
        </w:rPr>
        <w:t>«Окружающий мир»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</w:p>
    <w:p w:rsidR="00D711D7" w:rsidRDefault="00925426" w:rsidP="00D711D7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«Искусство»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предметами </w:t>
      </w:r>
      <w:r w:rsidR="00D711D7" w:rsidRPr="00D711D7">
        <w:rPr>
          <w:rFonts w:ascii="Times New Roman" w:hAnsi="Times New Roman" w:cs="Times New Roman"/>
          <w:i/>
          <w:sz w:val="28"/>
        </w:rPr>
        <w:t>«Изобразительное искусство», «Музыка».</w:t>
      </w:r>
      <w:r w:rsidR="00D711D7" w:rsidRPr="004026B0">
        <w:rPr>
          <w:rFonts w:ascii="Times New Roman" w:hAnsi="Times New Roman" w:cs="Times New Roman"/>
          <w:sz w:val="28"/>
        </w:rPr>
        <w:t xml:space="preserve"> </w:t>
      </w:r>
    </w:p>
    <w:p w:rsidR="00D711D7" w:rsidRDefault="00925426" w:rsidP="00D711D7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«Физическая культура»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</w:t>
      </w:r>
      <w:r w:rsidR="00D711D7">
        <w:rPr>
          <w:rFonts w:ascii="Times New Roman" w:hAnsi="Times New Roman" w:cs="Times New Roman"/>
          <w:sz w:val="28"/>
        </w:rPr>
        <w:t xml:space="preserve">етами </w:t>
      </w:r>
      <w:r w:rsidR="00D711D7" w:rsidRPr="00D711D7">
        <w:rPr>
          <w:rFonts w:ascii="Times New Roman" w:hAnsi="Times New Roman" w:cs="Times New Roman"/>
          <w:i/>
          <w:sz w:val="28"/>
        </w:rPr>
        <w:t>«Физическая культура».</w:t>
      </w:r>
      <w:r w:rsidR="00D711D7" w:rsidRPr="004026B0">
        <w:rPr>
          <w:rFonts w:ascii="Times New Roman" w:hAnsi="Times New Roman" w:cs="Times New Roman"/>
          <w:sz w:val="28"/>
        </w:rPr>
        <w:t xml:space="preserve"> </w:t>
      </w:r>
      <w:r w:rsidR="00D711D7">
        <w:rPr>
          <w:rFonts w:ascii="Times New Roman" w:hAnsi="Times New Roman" w:cs="Times New Roman"/>
          <w:sz w:val="28"/>
        </w:rPr>
        <w:t xml:space="preserve"> </w:t>
      </w:r>
      <w:r w:rsidR="00D711D7" w:rsidRPr="004026B0">
        <w:rPr>
          <w:rFonts w:ascii="Times New Roman" w:hAnsi="Times New Roman" w:cs="Times New Roman"/>
          <w:sz w:val="28"/>
        </w:rPr>
        <w:t xml:space="preserve"> </w:t>
      </w:r>
    </w:p>
    <w:p w:rsidR="00D711D7" w:rsidRPr="00925426" w:rsidRDefault="00925426" w:rsidP="00925426">
      <w:pPr>
        <w:pStyle w:val="aa"/>
        <w:ind w:left="0"/>
        <w:jc w:val="both"/>
        <w:rPr>
          <w:rStyle w:val="markedcontent"/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28"/>
        </w:rPr>
        <w:lastRenderedPageBreak/>
        <w:t>7</w:t>
      </w:r>
      <w:r w:rsidR="00D711D7" w:rsidRPr="004026B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Предметная</w:t>
      </w:r>
      <w:r w:rsidR="00D711D7" w:rsidRPr="004026B0">
        <w:rPr>
          <w:rFonts w:ascii="Times New Roman" w:hAnsi="Times New Roman" w:cs="Times New Roman"/>
          <w:sz w:val="28"/>
        </w:rPr>
        <w:t xml:space="preserve"> область </w:t>
      </w:r>
      <w:r w:rsidR="00D711D7" w:rsidRPr="00D711D7">
        <w:rPr>
          <w:rFonts w:ascii="Times New Roman" w:hAnsi="Times New Roman" w:cs="Times New Roman"/>
          <w:b/>
          <w:i/>
          <w:sz w:val="28"/>
        </w:rPr>
        <w:t>«Технология»</w:t>
      </w:r>
      <w:r w:rsidR="00D711D7" w:rsidRPr="004026B0">
        <w:rPr>
          <w:rFonts w:ascii="Times New Roman" w:hAnsi="Times New Roman" w:cs="Times New Roman"/>
          <w:sz w:val="28"/>
        </w:rPr>
        <w:t xml:space="preserve"> представлена предметом: </w:t>
      </w:r>
      <w:r w:rsidR="00D711D7" w:rsidRPr="00D711D7">
        <w:rPr>
          <w:rFonts w:ascii="Times New Roman" w:hAnsi="Times New Roman" w:cs="Times New Roman"/>
          <w:i/>
          <w:sz w:val="28"/>
        </w:rPr>
        <w:t>«Технология».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8. П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редметн</w:t>
      </w:r>
      <w:r>
        <w:rPr>
          <w:rStyle w:val="markedcontent"/>
          <w:rFonts w:asciiTheme="majorBidi" w:hAnsiTheme="majorBidi" w:cstheme="majorBidi"/>
          <w:sz w:val="28"/>
          <w:szCs w:val="28"/>
        </w:rPr>
        <w:t>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област</w:t>
      </w:r>
      <w:r>
        <w:rPr>
          <w:rStyle w:val="markedcontent"/>
          <w:rFonts w:asciiTheme="majorBidi" w:hAnsiTheme="majorBidi" w:cstheme="majorBidi"/>
          <w:sz w:val="28"/>
          <w:szCs w:val="28"/>
        </w:rPr>
        <w:t>ь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925426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«Основы религиозных культур и светской этики»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Pr="004026B0">
        <w:rPr>
          <w:rFonts w:ascii="Times New Roman" w:hAnsi="Times New Roman" w:cs="Times New Roman"/>
          <w:sz w:val="28"/>
        </w:rPr>
        <w:t xml:space="preserve">представленная учебным предметом </w:t>
      </w:r>
      <w:r w:rsidRPr="00925426">
        <w:rPr>
          <w:rFonts w:ascii="Times New Roman" w:hAnsi="Times New Roman" w:cs="Times New Roman"/>
          <w:i/>
          <w:sz w:val="28"/>
        </w:rPr>
        <w:t>«Основы православной культуры</w:t>
      </w:r>
      <w:r w:rsidRPr="004026B0">
        <w:rPr>
          <w:rFonts w:ascii="Times New Roman" w:hAnsi="Times New Roman" w:cs="Times New Roman"/>
          <w:sz w:val="28"/>
        </w:rPr>
        <w:t>», пред</w:t>
      </w:r>
      <w:r>
        <w:rPr>
          <w:rFonts w:ascii="Times New Roman" w:hAnsi="Times New Roman" w:cs="Times New Roman"/>
          <w:sz w:val="28"/>
        </w:rPr>
        <w:t>усматривает изучение в 4 классе.</w:t>
      </w:r>
      <w:r w:rsidRPr="004026B0">
        <w:rPr>
          <w:rFonts w:ascii="Times New Roman" w:hAnsi="Times New Roman" w:cs="Times New Roman"/>
          <w:sz w:val="28"/>
        </w:rPr>
        <w:t xml:space="preserve"> </w:t>
      </w:r>
    </w:p>
    <w:p w:rsidR="00925426" w:rsidRPr="004026B0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4026B0">
        <w:rPr>
          <w:rFonts w:ascii="Times New Roman" w:hAnsi="Times New Roman" w:cs="Times New Roman"/>
          <w:b/>
          <w:sz w:val="28"/>
        </w:rPr>
        <w:t xml:space="preserve">Русский язык и литературное чтение.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Основные задачи реализации содержания предметной области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925426" w:rsidRPr="002536B9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2536B9">
        <w:rPr>
          <w:rFonts w:ascii="Times New Roman" w:hAnsi="Times New Roman" w:cs="Times New Roman"/>
          <w:b/>
          <w:i/>
          <w:sz w:val="28"/>
        </w:rPr>
        <w:t xml:space="preserve">Данная предметная область представлена учебными предметами: «Русский язык» (обучение письму) </w:t>
      </w:r>
      <w:r>
        <w:rPr>
          <w:rFonts w:ascii="Times New Roman" w:hAnsi="Times New Roman" w:cs="Times New Roman"/>
          <w:b/>
          <w:i/>
          <w:sz w:val="28"/>
        </w:rPr>
        <w:t>4 часа</w:t>
      </w:r>
      <w:r w:rsidRPr="002536B9">
        <w:rPr>
          <w:rFonts w:ascii="Times New Roman" w:hAnsi="Times New Roman" w:cs="Times New Roman"/>
          <w:b/>
          <w:i/>
          <w:sz w:val="28"/>
        </w:rPr>
        <w:t>, «Литературным чтением» (обучение грамоте) - 4 часа в 1-</w:t>
      </w:r>
      <w:r>
        <w:rPr>
          <w:rFonts w:ascii="Times New Roman" w:hAnsi="Times New Roman" w:cs="Times New Roman"/>
          <w:b/>
          <w:i/>
          <w:sz w:val="28"/>
        </w:rPr>
        <w:t>3 классах, в 4 классах – 3 часа в неделю.</w:t>
      </w:r>
      <w:r w:rsidRPr="002536B9">
        <w:rPr>
          <w:rFonts w:ascii="Times New Roman" w:hAnsi="Times New Roman" w:cs="Times New Roman"/>
          <w:b/>
          <w:i/>
          <w:sz w:val="28"/>
        </w:rPr>
        <w:t xml:space="preserve"> </w:t>
      </w:r>
      <w:r w:rsidRPr="009C354D">
        <w:rPr>
          <w:rFonts w:ascii="Times New Roman" w:hAnsi="Times New Roman" w:cs="Times New Roman"/>
          <w:sz w:val="28"/>
        </w:rPr>
        <w:t xml:space="preserve"> </w:t>
      </w:r>
    </w:p>
    <w:p w:rsidR="00925426" w:rsidRPr="004026B0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4026B0">
        <w:rPr>
          <w:rFonts w:ascii="Times New Roman" w:hAnsi="Times New Roman" w:cs="Times New Roman"/>
          <w:b/>
          <w:sz w:val="28"/>
        </w:rPr>
        <w:t xml:space="preserve">Иностранный язык.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Основные задачи реализации содержания предметной области: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- 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-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необходимым для овладения устной и письменной речью на иностранном языке на элементарном уровне;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общения. </w:t>
      </w:r>
    </w:p>
    <w:p w:rsidR="00925426" w:rsidRPr="002536B9" w:rsidRDefault="00925426" w:rsidP="00925426">
      <w:pPr>
        <w:jc w:val="both"/>
        <w:rPr>
          <w:rFonts w:ascii="Times New Roman" w:hAnsi="Times New Roman" w:cs="Times New Roman"/>
          <w:b/>
          <w:i/>
          <w:sz w:val="28"/>
        </w:rPr>
      </w:pPr>
      <w:r w:rsidRPr="002536B9">
        <w:rPr>
          <w:rFonts w:ascii="Times New Roman" w:hAnsi="Times New Roman" w:cs="Times New Roman"/>
          <w:b/>
          <w:i/>
          <w:sz w:val="28"/>
        </w:rPr>
        <w:t xml:space="preserve">Данная предметная область представлена учебным предметом: «Иностранный язык» (английский) – 2 часа во 2-4 классах. </w:t>
      </w:r>
    </w:p>
    <w:p w:rsidR="00925426" w:rsidRPr="004026B0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4026B0">
        <w:rPr>
          <w:rFonts w:ascii="Times New Roman" w:hAnsi="Times New Roman" w:cs="Times New Roman"/>
          <w:b/>
          <w:sz w:val="28"/>
        </w:rPr>
        <w:t xml:space="preserve">Математика и информатика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4026B0">
        <w:rPr>
          <w:rFonts w:ascii="Times New Roman" w:hAnsi="Times New Roman" w:cs="Times New Roman"/>
          <w:sz w:val="28"/>
        </w:rPr>
        <w:t xml:space="preserve">Основные задачи -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</w:t>
      </w:r>
      <w:proofErr w:type="gramStart"/>
      <w:r w:rsidRPr="004026B0">
        <w:rPr>
          <w:rFonts w:ascii="Times New Roman" w:hAnsi="Times New Roman" w:cs="Times New Roman"/>
          <w:sz w:val="28"/>
        </w:rPr>
        <w:t xml:space="preserve">В процессе усвоения математического содержания ученики овладевают обобщёнными видами деятельности: анализировать, сравнивать, классифицировать математические объекты (числа, величины, числовые выражения, геометрические фигуры); описывать ситуации, используя числа, величины, арифметические действия); </w:t>
      </w:r>
      <w:r w:rsidRPr="004026B0">
        <w:rPr>
          <w:rFonts w:ascii="Times New Roman" w:hAnsi="Times New Roman" w:cs="Times New Roman"/>
          <w:sz w:val="28"/>
        </w:rPr>
        <w:lastRenderedPageBreak/>
        <w:t>моделировать математические отношения; планировать решение задачи; объяснять (пояснять, обосновывать) свой способ действия; описывать свойства геометрических фигур; конструировать их модели; прогнозировать результат вычислений;</w:t>
      </w:r>
      <w:proofErr w:type="gramEnd"/>
      <w:r w:rsidRPr="004026B0">
        <w:rPr>
          <w:rFonts w:ascii="Times New Roman" w:hAnsi="Times New Roman" w:cs="Times New Roman"/>
          <w:sz w:val="28"/>
        </w:rPr>
        <w:t xml:space="preserve"> строить рассуждения, аргументировать высказывания, различать обоснованные и необоснованные суждения, устанавливать причинно-следственные связи; осуществлять анализ математических объектов, выделять их существенные и несущественные признаки. </w:t>
      </w:r>
    </w:p>
    <w:p w:rsidR="00925426" w:rsidRPr="002536B9" w:rsidRDefault="00925426" w:rsidP="00925426">
      <w:pPr>
        <w:jc w:val="both"/>
        <w:rPr>
          <w:rFonts w:ascii="Times New Roman" w:hAnsi="Times New Roman" w:cs="Times New Roman"/>
          <w:b/>
          <w:i/>
          <w:sz w:val="28"/>
        </w:rPr>
      </w:pPr>
      <w:r w:rsidRPr="002536B9">
        <w:rPr>
          <w:rFonts w:ascii="Times New Roman" w:hAnsi="Times New Roman" w:cs="Times New Roman"/>
          <w:b/>
          <w:i/>
          <w:sz w:val="28"/>
        </w:rPr>
        <w:t xml:space="preserve">Область представлена учебным предметом «Математика» – 4 часа. </w:t>
      </w:r>
    </w:p>
    <w:p w:rsidR="00925426" w:rsidRPr="004026B0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</w:rPr>
      </w:pPr>
      <w:r w:rsidRPr="004026B0">
        <w:rPr>
          <w:rFonts w:ascii="Times New Roman" w:hAnsi="Times New Roman" w:cs="Times New Roman"/>
          <w:b/>
          <w:sz w:val="28"/>
        </w:rPr>
        <w:t xml:space="preserve">Обществознание и естествознание (Окружающий мир)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4026B0">
        <w:rPr>
          <w:rFonts w:ascii="Times New Roman" w:hAnsi="Times New Roman" w:cs="Times New Roman"/>
          <w:sz w:val="28"/>
        </w:rPr>
        <w:t>Основные задачи - формирование уважительного отношения к семье, населенному пункту, региону, России, истории, культуре, природе нашей страны, ее современной жизни.</w:t>
      </w:r>
      <w:proofErr w:type="gramEnd"/>
      <w:r w:rsidRPr="004026B0">
        <w:rPr>
          <w:rFonts w:ascii="Times New Roman" w:hAnsi="Times New Roman" w:cs="Times New Roman"/>
          <w:sz w:val="28"/>
        </w:rPr>
        <w:t xml:space="preserve">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 В результате поисковой, экспериментальной, исследовательской деятельности, работы с разными источниками информации у младших школьников формируются не только предметные знания и умения, но и разные виды универсальных учебных действий: коммуникативных, регулятивных, п</w:t>
      </w:r>
      <w:r>
        <w:rPr>
          <w:rFonts w:ascii="Times New Roman" w:hAnsi="Times New Roman" w:cs="Times New Roman"/>
          <w:sz w:val="28"/>
        </w:rPr>
        <w:t>ознавательных.</w:t>
      </w:r>
    </w:p>
    <w:p w:rsidR="00925426" w:rsidRPr="00476799" w:rsidRDefault="00925426" w:rsidP="00925426">
      <w:pPr>
        <w:jc w:val="both"/>
        <w:rPr>
          <w:rFonts w:ascii="Times New Roman" w:hAnsi="Times New Roman" w:cs="Times New Roman"/>
          <w:sz w:val="36"/>
        </w:rPr>
      </w:pPr>
      <w:r w:rsidRPr="002536B9">
        <w:rPr>
          <w:rFonts w:ascii="Times New Roman" w:hAnsi="Times New Roman" w:cs="Times New Roman"/>
          <w:b/>
          <w:i/>
          <w:sz w:val="28"/>
        </w:rPr>
        <w:t>Область представлена учебным предметом «Окружающий мир» - 2 часа</w:t>
      </w:r>
      <w:r w:rsidRPr="004026B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25426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</w:rPr>
      </w:pPr>
      <w:r w:rsidRPr="00C66691">
        <w:rPr>
          <w:rFonts w:ascii="Times New Roman" w:hAnsi="Times New Roman" w:cs="Times New Roman"/>
          <w:sz w:val="28"/>
        </w:rPr>
        <w:t xml:space="preserve"> </w:t>
      </w:r>
      <w:r w:rsidRPr="00E17896">
        <w:rPr>
          <w:rFonts w:ascii="Times New Roman" w:hAnsi="Times New Roman" w:cs="Times New Roman"/>
          <w:b/>
          <w:sz w:val="28"/>
        </w:rPr>
        <w:t>«Физическая культура»</w:t>
      </w:r>
      <w:r w:rsidRPr="00C66691">
        <w:rPr>
          <w:rFonts w:ascii="Times New Roman" w:hAnsi="Times New Roman" w:cs="Times New Roman"/>
          <w:sz w:val="28"/>
        </w:rPr>
        <w:t xml:space="preserve"> </w:t>
      </w:r>
    </w:p>
    <w:p w:rsidR="00925426" w:rsidRPr="002536B9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2536B9">
        <w:rPr>
          <w:rFonts w:ascii="Times New Roman" w:hAnsi="Times New Roman" w:cs="Times New Roman"/>
          <w:sz w:val="28"/>
        </w:rPr>
        <w:t xml:space="preserve">Основные задачи -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2536B9">
        <w:rPr>
          <w:rFonts w:ascii="Times New Roman" w:hAnsi="Times New Roman" w:cs="Times New Roman"/>
          <w:sz w:val="28"/>
        </w:rPr>
        <w:t>саморегуляции</w:t>
      </w:r>
      <w:proofErr w:type="spellEnd"/>
      <w:r w:rsidRPr="002536B9">
        <w:rPr>
          <w:rFonts w:ascii="Times New Roman" w:hAnsi="Times New Roman" w:cs="Times New Roman"/>
          <w:sz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</w:t>
      </w:r>
      <w:r w:rsidRPr="002536B9">
        <w:rPr>
          <w:rFonts w:ascii="Times New Roman" w:hAnsi="Times New Roman" w:cs="Times New Roman"/>
          <w:b/>
          <w:i/>
          <w:sz w:val="28"/>
        </w:rPr>
        <w:t>Предметная область представлена учебным</w:t>
      </w:r>
      <w:r>
        <w:rPr>
          <w:rFonts w:ascii="Times New Roman" w:hAnsi="Times New Roman" w:cs="Times New Roman"/>
          <w:b/>
          <w:i/>
          <w:sz w:val="28"/>
        </w:rPr>
        <w:t xml:space="preserve">  предметом: </w:t>
      </w:r>
      <w:r w:rsidRPr="002536B9">
        <w:rPr>
          <w:rFonts w:ascii="Times New Roman" w:hAnsi="Times New Roman" w:cs="Times New Roman"/>
          <w:b/>
          <w:i/>
          <w:sz w:val="28"/>
        </w:rPr>
        <w:t xml:space="preserve">«Физическая культура» </w:t>
      </w:r>
      <w:r>
        <w:rPr>
          <w:rFonts w:ascii="Times New Roman" w:hAnsi="Times New Roman" w:cs="Times New Roman"/>
          <w:b/>
          <w:i/>
          <w:sz w:val="28"/>
        </w:rPr>
        <w:t>2</w:t>
      </w:r>
      <w:r w:rsidRPr="002536B9">
        <w:rPr>
          <w:rFonts w:ascii="Times New Roman" w:hAnsi="Times New Roman" w:cs="Times New Roman"/>
          <w:b/>
          <w:i/>
          <w:sz w:val="28"/>
        </w:rPr>
        <w:t xml:space="preserve"> часа</w:t>
      </w:r>
      <w:r w:rsidRPr="002536B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1ч отводится на внеурочную деятельность </w:t>
      </w:r>
      <w:r w:rsidRPr="00925426">
        <w:rPr>
          <w:rFonts w:ascii="Times New Roman" w:hAnsi="Times New Roman" w:cs="Times New Roman"/>
          <w:i/>
          <w:sz w:val="28"/>
        </w:rPr>
        <w:t>«Подвижные игры».</w:t>
      </w:r>
      <w:r w:rsidRPr="002536B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2536B9">
        <w:rPr>
          <w:rFonts w:ascii="Times New Roman" w:hAnsi="Times New Roman" w:cs="Times New Roman"/>
          <w:sz w:val="28"/>
        </w:rPr>
        <w:t xml:space="preserve"> 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8B7495">
        <w:rPr>
          <w:rFonts w:ascii="Times New Roman" w:hAnsi="Times New Roman" w:cs="Times New Roman"/>
          <w:sz w:val="28"/>
        </w:rPr>
        <w:t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воспитания, направленной на развитие человеческого потенциала и укрепления здоровья человека с 1 сентября 2014 года в российских школах вводится комплекс нормативов ГТО. Указ о введении физкультурно-спортивного комплекса "Готов к труду и обороне</w:t>
      </w:r>
      <w:proofErr w:type="gramStart"/>
      <w:r w:rsidRPr="008B7495">
        <w:rPr>
          <w:rFonts w:ascii="Times New Roman" w:hAnsi="Times New Roman" w:cs="Times New Roman"/>
          <w:sz w:val="28"/>
        </w:rPr>
        <w:t>"(</w:t>
      </w:r>
      <w:proofErr w:type="gramEnd"/>
      <w:r w:rsidRPr="008B7495">
        <w:rPr>
          <w:rFonts w:ascii="Times New Roman" w:hAnsi="Times New Roman" w:cs="Times New Roman"/>
          <w:sz w:val="28"/>
        </w:rPr>
        <w:t xml:space="preserve">ГТО) подписал 24 марта президент России Владимир Путин. Введение сдачи разновозрастных норм ГТО в школах утверждено приказом </w:t>
      </w:r>
      <w:proofErr w:type="spellStart"/>
      <w:r w:rsidRPr="008B7495">
        <w:rPr>
          <w:rFonts w:ascii="Times New Roman" w:hAnsi="Times New Roman" w:cs="Times New Roman"/>
          <w:sz w:val="28"/>
        </w:rPr>
        <w:t>Минспорта</w:t>
      </w:r>
      <w:proofErr w:type="spellEnd"/>
      <w:r w:rsidRPr="008B7495">
        <w:rPr>
          <w:rFonts w:ascii="Times New Roman" w:hAnsi="Times New Roman" w:cs="Times New Roman"/>
          <w:sz w:val="28"/>
        </w:rPr>
        <w:t xml:space="preserve"> России от 8 июля 2014г. № 575 «Государственные требования к </w:t>
      </w:r>
      <w:r w:rsidRPr="008B7495">
        <w:rPr>
          <w:rFonts w:ascii="Times New Roman" w:hAnsi="Times New Roman" w:cs="Times New Roman"/>
          <w:sz w:val="28"/>
        </w:rPr>
        <w:lastRenderedPageBreak/>
        <w:t>уровню физической подготовленности населения при выполнении нормативов Всероссийского физкультурного спортивного комплекса «Готов к труду и обороне» (ГТО), что утверждено приказом МО и Н РФ № 3907 – 14 от 10 – 07 от 10- 07 -2014, распоряжением Правительства РФ № 1165 –</w:t>
      </w:r>
      <w:proofErr w:type="gramStart"/>
      <w:r w:rsidRPr="008B7495">
        <w:rPr>
          <w:rFonts w:ascii="Times New Roman" w:hAnsi="Times New Roman" w:cs="Times New Roman"/>
          <w:sz w:val="28"/>
        </w:rPr>
        <w:t>р</w:t>
      </w:r>
      <w:proofErr w:type="gramEnd"/>
      <w:r w:rsidRPr="008B7495">
        <w:rPr>
          <w:rFonts w:ascii="Times New Roman" w:hAnsi="Times New Roman" w:cs="Times New Roman"/>
          <w:sz w:val="28"/>
        </w:rPr>
        <w:t xml:space="preserve"> от 30-06-2014. </w:t>
      </w:r>
      <w:r>
        <w:rPr>
          <w:rFonts w:ascii="Times New Roman" w:hAnsi="Times New Roman" w:cs="Times New Roman"/>
          <w:sz w:val="28"/>
        </w:rPr>
        <w:t xml:space="preserve"> </w:t>
      </w:r>
      <w:r w:rsidRPr="008B749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8B7495">
        <w:rPr>
          <w:rFonts w:ascii="Times New Roman" w:hAnsi="Times New Roman" w:cs="Times New Roman"/>
          <w:sz w:val="28"/>
        </w:rPr>
        <w:t xml:space="preserve"> рабочие программы учителей вносятся </w:t>
      </w:r>
      <w:proofErr w:type="gramStart"/>
      <w:r w:rsidRPr="008B7495">
        <w:rPr>
          <w:rFonts w:ascii="Times New Roman" w:hAnsi="Times New Roman" w:cs="Times New Roman"/>
          <w:sz w:val="28"/>
        </w:rPr>
        <w:t>изменения</w:t>
      </w:r>
      <w:proofErr w:type="gramEnd"/>
      <w:r w:rsidRPr="008B7495">
        <w:rPr>
          <w:rFonts w:ascii="Times New Roman" w:hAnsi="Times New Roman" w:cs="Times New Roman"/>
          <w:sz w:val="28"/>
        </w:rPr>
        <w:t xml:space="preserve"> и организуется соответствующая работа в школе в урочное и внеурочное время</w:t>
      </w:r>
      <w:r>
        <w:t xml:space="preserve">. </w:t>
      </w:r>
      <w:r>
        <w:rPr>
          <w:rFonts w:ascii="Times New Roman" w:hAnsi="Times New Roman" w:cs="Times New Roman"/>
          <w:sz w:val="28"/>
        </w:rPr>
        <w:t xml:space="preserve">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C666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</w:t>
      </w:r>
    </w:p>
    <w:p w:rsidR="00925426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</w:rPr>
      </w:pPr>
      <w:r w:rsidRPr="00C66691">
        <w:rPr>
          <w:rFonts w:ascii="Times New Roman" w:hAnsi="Times New Roman" w:cs="Times New Roman"/>
          <w:sz w:val="28"/>
        </w:rPr>
        <w:t xml:space="preserve"> </w:t>
      </w:r>
      <w:r w:rsidRPr="00E17896">
        <w:rPr>
          <w:rFonts w:ascii="Times New Roman" w:hAnsi="Times New Roman" w:cs="Times New Roman"/>
          <w:b/>
          <w:sz w:val="28"/>
        </w:rPr>
        <w:t>«Искусство»</w:t>
      </w:r>
      <w:r>
        <w:rPr>
          <w:rFonts w:ascii="Times New Roman" w:hAnsi="Times New Roman" w:cs="Times New Roman"/>
          <w:b/>
          <w:sz w:val="28"/>
        </w:rPr>
        <w:t>.</w:t>
      </w:r>
      <w:r w:rsidRPr="00C66691">
        <w:rPr>
          <w:rFonts w:ascii="Times New Roman" w:hAnsi="Times New Roman" w:cs="Times New Roman"/>
          <w:sz w:val="28"/>
        </w:rPr>
        <w:t xml:space="preserve"> </w:t>
      </w:r>
      <w:r w:rsidRPr="002811EE">
        <w:rPr>
          <w:rFonts w:ascii="Times New Roman" w:hAnsi="Times New Roman" w:cs="Times New Roman"/>
          <w:sz w:val="28"/>
        </w:rPr>
        <w:t xml:space="preserve">Основные задачи: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• развитие способностей к художественно-образному, эмоционально-ценностному восприятию произведений изобразительного и музыкального искусства;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• выражение в различных видах художественно-творческой деятельности своего отношения к окружающему миру;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• реализация личностного творческого потенциала при решении учебных и художественно-практических задач.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В процессе усвоения содержания предметной области «Искусство» ученики: • получают первоначальное представление о закономерностях отражения жизни в разных видах искусства, о роли искусства в жизни человека, его духовно-нравственном развитии;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• учатся воспринимать, анализировать, оценивать и интерпретировать произведения музыкального и изобразительного искусств;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2811EE">
        <w:rPr>
          <w:rFonts w:ascii="Times New Roman" w:hAnsi="Times New Roman" w:cs="Times New Roman"/>
          <w:sz w:val="28"/>
        </w:rPr>
        <w:t xml:space="preserve">• приобретают опыт эмоционально-ценностного отношения к искусству и миру, творческого самовыражения в различных видах художественной и музыкальной деятельности. В результате изучения искусства у </w:t>
      </w:r>
      <w:proofErr w:type="gramStart"/>
      <w:r w:rsidRPr="002811EE">
        <w:rPr>
          <w:rFonts w:ascii="Times New Roman" w:hAnsi="Times New Roman" w:cs="Times New Roman"/>
          <w:sz w:val="28"/>
        </w:rPr>
        <w:t>обучающихся</w:t>
      </w:r>
      <w:proofErr w:type="gramEnd"/>
      <w:r w:rsidRPr="002811EE">
        <w:rPr>
          <w:rFonts w:ascii="Times New Roman" w:hAnsi="Times New Roman" w:cs="Times New Roman"/>
          <w:sz w:val="28"/>
        </w:rPr>
        <w:t xml:space="preserve"> будут сформированы художественный вкус, интерес к искусству и художественному творчеству, основы образного и ассоциативного мышления, воображение и интуиция. Знакомство с лучшими произведениями музыкального и изобразительного искусства, проникнутыми любовью к Родине, красоте родной природы, народным традициям, духовным богатствам культуры ее народов, создаст условия для развития нравственных и эстетических чувств обучающихся, основ их музыкальной и художественной культуры, гармоничного и оптимистичного восприятия мира.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2536B9">
        <w:rPr>
          <w:rFonts w:ascii="Times New Roman" w:hAnsi="Times New Roman" w:cs="Times New Roman"/>
          <w:b/>
          <w:i/>
          <w:sz w:val="28"/>
        </w:rPr>
        <w:t>Данная предметная область представлена учебными предметами: «Изобразительное искусство» и «Музыка» по 1 часу в  неделю.</w:t>
      </w:r>
    </w:p>
    <w:p w:rsidR="00925426" w:rsidRPr="002536B9" w:rsidRDefault="00925426" w:rsidP="00925426">
      <w:pPr>
        <w:pStyle w:val="aa"/>
        <w:ind w:left="0"/>
        <w:jc w:val="both"/>
        <w:rPr>
          <w:rFonts w:ascii="Times New Roman" w:hAnsi="Times New Roman" w:cs="Times New Roman"/>
          <w:b/>
          <w:i/>
          <w:sz w:val="28"/>
        </w:rPr>
      </w:pPr>
    </w:p>
    <w:p w:rsidR="00925426" w:rsidRPr="002536B9" w:rsidRDefault="00925426" w:rsidP="00925426">
      <w:pPr>
        <w:pStyle w:val="a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C66691">
        <w:rPr>
          <w:rFonts w:ascii="Times New Roman" w:hAnsi="Times New Roman" w:cs="Times New Roman"/>
          <w:sz w:val="28"/>
        </w:rPr>
        <w:t xml:space="preserve"> </w:t>
      </w:r>
      <w:r w:rsidRPr="008D0649">
        <w:rPr>
          <w:rFonts w:ascii="Times New Roman" w:hAnsi="Times New Roman" w:cs="Times New Roman"/>
          <w:b/>
          <w:sz w:val="28"/>
        </w:rPr>
        <w:t>«Технология»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25426" w:rsidRDefault="00925426" w:rsidP="00925426">
      <w:pPr>
        <w:jc w:val="both"/>
        <w:rPr>
          <w:rFonts w:ascii="Times New Roman" w:hAnsi="Times New Roman" w:cs="Times New Roman"/>
          <w:sz w:val="28"/>
        </w:rPr>
      </w:pPr>
      <w:r w:rsidRPr="002536B9">
        <w:rPr>
          <w:rFonts w:ascii="Times New Roman" w:hAnsi="Times New Roman" w:cs="Times New Roman"/>
          <w:sz w:val="28"/>
        </w:rPr>
        <w:t xml:space="preserve">Основные задачи - 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 В качестве результата изучения данного </w:t>
      </w:r>
      <w:r w:rsidRPr="002536B9">
        <w:rPr>
          <w:rFonts w:ascii="Times New Roman" w:hAnsi="Times New Roman" w:cs="Times New Roman"/>
          <w:sz w:val="28"/>
        </w:rPr>
        <w:lastRenderedPageBreak/>
        <w:t xml:space="preserve">предмета предполагается формирование универсальных учебных действий всех видов: личностных, познавательных, регулятивных, коммуникативных. </w:t>
      </w:r>
    </w:p>
    <w:p w:rsidR="00925426" w:rsidRPr="002536B9" w:rsidRDefault="00925426" w:rsidP="00925426">
      <w:pPr>
        <w:jc w:val="both"/>
        <w:rPr>
          <w:rFonts w:ascii="Times New Roman" w:hAnsi="Times New Roman" w:cs="Times New Roman"/>
          <w:b/>
          <w:i/>
          <w:sz w:val="28"/>
        </w:rPr>
      </w:pPr>
      <w:r w:rsidRPr="002536B9">
        <w:rPr>
          <w:rFonts w:ascii="Times New Roman" w:hAnsi="Times New Roman" w:cs="Times New Roman"/>
          <w:b/>
          <w:i/>
          <w:sz w:val="28"/>
        </w:rPr>
        <w:t>Область представлена учебным предметом: «Технология» - 1 час.</w:t>
      </w:r>
      <w:r w:rsidRPr="002536B9">
        <w:rPr>
          <w:b/>
          <w:i/>
        </w:rPr>
        <w:t xml:space="preserve"> </w:t>
      </w:r>
      <w:r w:rsidRPr="002536B9">
        <w:rPr>
          <w:rFonts w:ascii="Times New Roman" w:hAnsi="Times New Roman" w:cs="Times New Roman"/>
          <w:b/>
          <w:i/>
          <w:sz w:val="28"/>
        </w:rPr>
        <w:t xml:space="preserve">  </w:t>
      </w:r>
    </w:p>
    <w:p w:rsidR="00925426" w:rsidRPr="00027C4C" w:rsidRDefault="00225702" w:rsidP="0022570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66691">
        <w:rPr>
          <w:rFonts w:ascii="Times New Roman" w:hAnsi="Times New Roman" w:cs="Times New Roman"/>
          <w:sz w:val="28"/>
        </w:rPr>
        <w:t xml:space="preserve"> </w:t>
      </w:r>
      <w:r w:rsidR="00925426" w:rsidRPr="00027C4C">
        <w:rPr>
          <w:rFonts w:ascii="Times New Roman" w:hAnsi="Times New Roman" w:cs="Times New Roman"/>
          <w:b/>
          <w:sz w:val="28"/>
        </w:rPr>
        <w:t>«Основы религиозных культур и светской этики»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В соответствии с Приказом </w:t>
      </w:r>
      <w:proofErr w:type="spellStart"/>
      <w:r w:rsidRPr="00027C4C">
        <w:rPr>
          <w:rFonts w:ascii="Times New Roman" w:hAnsi="Times New Roman" w:cs="Times New Roman"/>
          <w:sz w:val="28"/>
        </w:rPr>
        <w:t>Минобрнауки</w:t>
      </w:r>
      <w:proofErr w:type="spellEnd"/>
      <w:r w:rsidRPr="00027C4C">
        <w:rPr>
          <w:rFonts w:ascii="Times New Roman" w:hAnsi="Times New Roman" w:cs="Times New Roman"/>
          <w:sz w:val="28"/>
        </w:rPr>
        <w:t xml:space="preserve"> от 31.01.2012 года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года №1089» ОРКСЭ является частью федерального компонента государственного образовательного стандарта, обязательного для изучения. </w:t>
      </w:r>
      <w:proofErr w:type="gramStart"/>
      <w:r w:rsidRPr="00027C4C">
        <w:rPr>
          <w:rFonts w:ascii="Times New Roman" w:hAnsi="Times New Roman" w:cs="Times New Roman"/>
          <w:sz w:val="28"/>
        </w:rPr>
        <w:t xml:space="preserve">Приказом </w:t>
      </w:r>
      <w:proofErr w:type="spellStart"/>
      <w:r w:rsidRPr="00027C4C">
        <w:rPr>
          <w:rFonts w:ascii="Times New Roman" w:hAnsi="Times New Roman" w:cs="Times New Roman"/>
          <w:sz w:val="28"/>
        </w:rPr>
        <w:t>Минобрнауки</w:t>
      </w:r>
      <w:proofErr w:type="spellEnd"/>
      <w:r w:rsidRPr="00027C4C">
        <w:rPr>
          <w:rFonts w:ascii="Times New Roman" w:hAnsi="Times New Roman" w:cs="Times New Roman"/>
          <w:sz w:val="28"/>
        </w:rPr>
        <w:t xml:space="preserve"> от 01.02.2012 года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года №1312» c 1 сентября 2012 года в базисный учебный план начального образования (IV класс) введен учебный предмет «Основы религиозных культур и светской</w:t>
      </w:r>
      <w:proofErr w:type="gramEnd"/>
      <w:r w:rsidRPr="00027C4C">
        <w:rPr>
          <w:rFonts w:ascii="Times New Roman" w:hAnsi="Times New Roman" w:cs="Times New Roman"/>
          <w:sz w:val="28"/>
        </w:rPr>
        <w:t xml:space="preserve"> этики» в объеме 34 часов в год. Этим приказом узаконено обязательное изучение этого предмета как части базисного учебного плана. Преподавание учебного предмета «Основы религиозных культур и светской этики» организуется на основании нормативных документов: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1. Распоряжение Правительства РФ от 28.01.2012 №84-р «Об утверждении плана мероприятий по введению с 2012-13 учебного года во всех субъектах РФ комплексного учебного курса «Основы религиозных культур и светской этики».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2. План мероприятий по введению с 2012-13 учебного года во всех субъектах РФ комплексного учебного курса «Основы религиозных культур и светской этики».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3. Приказ </w:t>
      </w:r>
      <w:proofErr w:type="spellStart"/>
      <w:r w:rsidRPr="00027C4C">
        <w:rPr>
          <w:rFonts w:ascii="Times New Roman" w:hAnsi="Times New Roman" w:cs="Times New Roman"/>
          <w:sz w:val="28"/>
        </w:rPr>
        <w:t>Минобрнауки</w:t>
      </w:r>
      <w:proofErr w:type="spellEnd"/>
      <w:r w:rsidRPr="00027C4C">
        <w:rPr>
          <w:rFonts w:ascii="Times New Roman" w:hAnsi="Times New Roman" w:cs="Times New Roman"/>
          <w:sz w:val="28"/>
        </w:rPr>
        <w:t xml:space="preserve"> России от 26.11.2010 № 1241 «О внесении изменений в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027C4C">
        <w:rPr>
          <w:rFonts w:ascii="Times New Roman" w:hAnsi="Times New Roman" w:cs="Times New Roman"/>
          <w:sz w:val="28"/>
        </w:rPr>
        <w:t>Минобрнауки</w:t>
      </w:r>
      <w:proofErr w:type="spellEnd"/>
      <w:r w:rsidRPr="00027C4C">
        <w:rPr>
          <w:rFonts w:ascii="Times New Roman" w:hAnsi="Times New Roman" w:cs="Times New Roman"/>
          <w:sz w:val="28"/>
        </w:rPr>
        <w:t xml:space="preserve"> России от 06.10.2010 №373». </w:t>
      </w:r>
    </w:p>
    <w:p w:rsidR="00925426" w:rsidRPr="00027C4C" w:rsidRDefault="00925426" w:rsidP="00925426">
      <w:pPr>
        <w:pStyle w:val="aa"/>
        <w:ind w:left="0"/>
        <w:jc w:val="both"/>
        <w:rPr>
          <w:rFonts w:ascii="Times New Roman" w:hAnsi="Times New Roman" w:cs="Times New Roman"/>
          <w:sz w:val="36"/>
        </w:rPr>
      </w:pPr>
      <w:r w:rsidRPr="00027C4C">
        <w:rPr>
          <w:rFonts w:ascii="Times New Roman" w:hAnsi="Times New Roman" w:cs="Times New Roman"/>
          <w:sz w:val="28"/>
        </w:rPr>
        <w:t>Этот комплексный учебный курс предполагает изучение 6 модулей на выбор. Учащимися и родителями М</w:t>
      </w:r>
      <w:r>
        <w:rPr>
          <w:rFonts w:ascii="Times New Roman" w:hAnsi="Times New Roman" w:cs="Times New Roman"/>
          <w:sz w:val="28"/>
        </w:rPr>
        <w:t>БОУ «С</w:t>
      </w:r>
      <w:r w:rsidRPr="00027C4C">
        <w:rPr>
          <w:rFonts w:ascii="Times New Roman" w:hAnsi="Times New Roman" w:cs="Times New Roman"/>
          <w:sz w:val="28"/>
        </w:rPr>
        <w:t xml:space="preserve">Ш № </w:t>
      </w:r>
      <w:r>
        <w:rPr>
          <w:rFonts w:ascii="Times New Roman" w:hAnsi="Times New Roman" w:cs="Times New Roman"/>
          <w:sz w:val="28"/>
        </w:rPr>
        <w:t>83</w:t>
      </w:r>
      <w:r w:rsidRPr="00027C4C">
        <w:rPr>
          <w:rFonts w:ascii="Times New Roman" w:hAnsi="Times New Roman" w:cs="Times New Roman"/>
          <w:sz w:val="28"/>
        </w:rPr>
        <w:t>»  выбран</w:t>
      </w:r>
      <w:r>
        <w:rPr>
          <w:rFonts w:ascii="Times New Roman" w:hAnsi="Times New Roman" w:cs="Times New Roman"/>
          <w:sz w:val="28"/>
        </w:rPr>
        <w:t xml:space="preserve"> </w:t>
      </w:r>
      <w:r w:rsidRPr="00027C4C">
        <w:rPr>
          <w:rFonts w:ascii="Times New Roman" w:hAnsi="Times New Roman" w:cs="Times New Roman"/>
          <w:sz w:val="28"/>
        </w:rPr>
        <w:t xml:space="preserve"> для изучения модуль: </w:t>
      </w:r>
    </w:p>
    <w:p w:rsidR="00925426" w:rsidRDefault="00925426" w:rsidP="00925426">
      <w:pPr>
        <w:pStyle w:val="aa"/>
        <w:ind w:left="0"/>
        <w:jc w:val="both"/>
        <w:rPr>
          <w:rFonts w:ascii="Times New Roman" w:hAnsi="Times New Roman" w:cs="Times New Roman"/>
          <w:b/>
          <w:i/>
          <w:sz w:val="28"/>
        </w:rPr>
      </w:pPr>
    </w:p>
    <w:p w:rsidR="00925426" w:rsidRPr="00925426" w:rsidRDefault="00925426" w:rsidP="00925426">
      <w:pPr>
        <w:pStyle w:val="aa"/>
        <w:ind w:left="0"/>
        <w:jc w:val="both"/>
        <w:rPr>
          <w:rStyle w:val="markedcontent"/>
          <w:rFonts w:ascii="Times New Roman" w:hAnsi="Times New Roman" w:cs="Times New Roman"/>
          <w:sz w:val="36"/>
        </w:rPr>
      </w:pPr>
      <w:r w:rsidRPr="002536B9">
        <w:rPr>
          <w:rFonts w:ascii="Times New Roman" w:hAnsi="Times New Roman" w:cs="Times New Roman"/>
          <w:b/>
          <w:i/>
          <w:sz w:val="28"/>
        </w:rPr>
        <w:t>Область представлена учебным предметом: «</w:t>
      </w:r>
      <w:r>
        <w:rPr>
          <w:rFonts w:ascii="Times New Roman" w:hAnsi="Times New Roman" w:cs="Times New Roman"/>
          <w:b/>
          <w:i/>
          <w:sz w:val="28"/>
        </w:rPr>
        <w:t xml:space="preserve">Основы православной культуры </w:t>
      </w:r>
      <w:r w:rsidRPr="002536B9">
        <w:rPr>
          <w:rFonts w:ascii="Times New Roman" w:hAnsi="Times New Roman" w:cs="Times New Roman"/>
          <w:b/>
          <w:i/>
          <w:sz w:val="28"/>
        </w:rPr>
        <w:t>» - 1 час.</w:t>
      </w:r>
      <w:r w:rsidRPr="002536B9">
        <w:rPr>
          <w:b/>
          <w:i/>
        </w:rPr>
        <w:t xml:space="preserve"> </w:t>
      </w:r>
      <w:r w:rsidRPr="002536B9">
        <w:rPr>
          <w:rFonts w:ascii="Times New Roman" w:hAnsi="Times New Roman" w:cs="Times New Roman"/>
          <w:b/>
          <w:i/>
          <w:sz w:val="28"/>
        </w:rPr>
        <w:t xml:space="preserve">  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 xml:space="preserve"> представлена учебным курсом «Смысловое чтение»</w:t>
      </w:r>
      <w:r w:rsidR="00D711D7">
        <w:rPr>
          <w:rStyle w:val="markedcontent"/>
          <w:rFonts w:asciiTheme="majorBidi" w:hAnsiTheme="majorBidi" w:cstheme="majorBidi"/>
          <w:sz w:val="28"/>
          <w:szCs w:val="28"/>
        </w:rPr>
        <w:t>, который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D711D7">
        <w:rPr>
          <w:rStyle w:val="markedcontent"/>
          <w:rFonts w:asciiTheme="majorBidi" w:hAnsiTheme="majorBidi" w:cstheme="majorBidi"/>
          <w:sz w:val="28"/>
          <w:szCs w:val="28"/>
        </w:rPr>
        <w:t>составляет 1 час.</w:t>
      </w:r>
    </w:p>
    <w:p w:rsidR="00996DF6" w:rsidRPr="00BA255F" w:rsidRDefault="00BF0C5B" w:rsidP="00925426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D53418">
        <w:rPr>
          <w:rStyle w:val="markedcontent"/>
          <w:rFonts w:asciiTheme="majorBidi" w:hAnsiTheme="majorBidi" w:cstheme="majorBidi"/>
          <w:sz w:val="28"/>
          <w:szCs w:val="28"/>
        </w:rPr>
        <w:t>МБОУ «СШ № 83»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D53418">
        <w:rPr>
          <w:rFonts w:asciiTheme="majorBidi" w:hAnsiTheme="majorBidi" w:cstheme="majorBidi"/>
          <w:sz w:val="28"/>
          <w:szCs w:val="28"/>
        </w:rPr>
        <w:t>русский язык</w:t>
      </w:r>
      <w:r w:rsidR="00925426">
        <w:rPr>
          <w:rFonts w:asciiTheme="majorBidi" w:hAnsiTheme="majorBidi" w:cstheme="majorBidi"/>
          <w:sz w:val="28"/>
          <w:szCs w:val="28"/>
        </w:rPr>
        <w:t>.</w:t>
      </w:r>
    </w:p>
    <w:p w:rsidR="00F23C59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 xml:space="preserve">иностранный язык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783FAD" w:rsidRPr="005D7E66" w:rsidRDefault="00783FAD" w:rsidP="00783FAD">
      <w:pPr>
        <w:pStyle w:val="aa"/>
        <w:ind w:left="0"/>
        <w:jc w:val="center"/>
        <w:rPr>
          <w:rFonts w:ascii="Times New Roman" w:hAnsi="Times New Roman" w:cs="Times New Roman"/>
          <w:b/>
          <w:sz w:val="28"/>
        </w:rPr>
      </w:pPr>
      <w:r w:rsidRPr="005D7E66">
        <w:rPr>
          <w:rFonts w:ascii="Times New Roman" w:hAnsi="Times New Roman" w:cs="Times New Roman"/>
          <w:b/>
          <w:sz w:val="28"/>
        </w:rPr>
        <w:t>Промежуточная аттестаци</w:t>
      </w:r>
      <w:r w:rsidR="008E49ED">
        <w:rPr>
          <w:rFonts w:ascii="Times New Roman" w:hAnsi="Times New Roman" w:cs="Times New Roman"/>
          <w:b/>
          <w:sz w:val="28"/>
        </w:rPr>
        <w:t>я</w:t>
      </w:r>
      <w:r w:rsidRPr="005D7E6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5D7E66">
        <w:rPr>
          <w:rFonts w:ascii="Times New Roman" w:hAnsi="Times New Roman" w:cs="Times New Roman"/>
          <w:b/>
          <w:sz w:val="28"/>
        </w:rPr>
        <w:t>обучающихся</w:t>
      </w:r>
      <w:proofErr w:type="gramEnd"/>
    </w:p>
    <w:p w:rsidR="00783FAD" w:rsidRPr="006E1004" w:rsidRDefault="00783FAD" w:rsidP="00783FA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аттестация – 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 (четвертное оценивание) или всего объема учебной дисциплины за учебный год (годовое оценивание).</w:t>
      </w:r>
    </w:p>
    <w:p w:rsidR="00783FAD" w:rsidRPr="006E1004" w:rsidRDefault="00783FAD" w:rsidP="00783FA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 графиком.</w:t>
      </w:r>
    </w:p>
    <w:p w:rsidR="00783FAD" w:rsidRPr="006E1004" w:rsidRDefault="00783FAD" w:rsidP="00783FA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783FAD" w:rsidRPr="006E1004" w:rsidRDefault="00783FAD" w:rsidP="00783FA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МБОУ «СШ № 83».</w:t>
      </w:r>
    </w:p>
    <w:p w:rsidR="00783FAD" w:rsidRPr="006E1004" w:rsidRDefault="00783FAD" w:rsidP="00783FAD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Оценивание младших школьников в течение первого года обучения осуществляются в форме словесных качественных оценок 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783FAD" w:rsidRPr="00783FAD" w:rsidRDefault="00783FAD" w:rsidP="00783FAD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>1. Целью проведения промежуточной аттестации обучающихся (промежуточная аттестация) является установление уровня освоения обучающимися образовательной программы образовательной организации, в том числе отдельной части или всего объема учебного предмета</w:t>
      </w:r>
      <w:proofErr w:type="gramStart"/>
      <w:r w:rsidRPr="00027C4C">
        <w:rPr>
          <w:rFonts w:ascii="Times New Roman" w:hAnsi="Times New Roman" w:cs="Times New Roman"/>
          <w:sz w:val="28"/>
        </w:rPr>
        <w:t>.</w:t>
      </w:r>
      <w:proofErr w:type="gramEnd"/>
      <w:r w:rsidRPr="00027C4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27C4C">
        <w:rPr>
          <w:rFonts w:ascii="Times New Roman" w:hAnsi="Times New Roman" w:cs="Times New Roman"/>
          <w:sz w:val="28"/>
        </w:rPr>
        <w:t>к</w:t>
      </w:r>
      <w:proofErr w:type="gramEnd"/>
      <w:r w:rsidRPr="00027C4C">
        <w:rPr>
          <w:rFonts w:ascii="Times New Roman" w:hAnsi="Times New Roman" w:cs="Times New Roman"/>
          <w:sz w:val="28"/>
        </w:rPr>
        <w:t xml:space="preserve">урса, дисциплины (модуля) образовательной программы для принятия решения о переводе обучающихся в следующий класс или об их допуске к итоговой аттестации.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2. Промежуточная аттестация проводится по каждому учебному предмету, курсу, дисциплине, модулю по итогам учебного года.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>3. Сроки проведения промежуточной аттестации – с 2</w:t>
      </w:r>
      <w:r>
        <w:rPr>
          <w:rFonts w:ascii="Times New Roman" w:hAnsi="Times New Roman" w:cs="Times New Roman"/>
          <w:sz w:val="28"/>
        </w:rPr>
        <w:t>0 апреля</w:t>
      </w:r>
      <w:r w:rsidRPr="00027C4C">
        <w:rPr>
          <w:rFonts w:ascii="Times New Roman" w:hAnsi="Times New Roman" w:cs="Times New Roman"/>
          <w:sz w:val="28"/>
        </w:rPr>
        <w:t xml:space="preserve"> по 31 мая текущего учебного года.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4. Оценочные (контрольно-измерительные) материалы для проведения промежуточной аттестации рассматриваются на заседаниях методических объединений и являются частью рабочих программ, предметов, курсов, модулей и </w:t>
      </w:r>
      <w:r w:rsidRPr="00027C4C">
        <w:rPr>
          <w:rFonts w:ascii="Times New Roman" w:hAnsi="Times New Roman" w:cs="Times New Roman"/>
          <w:sz w:val="28"/>
        </w:rPr>
        <w:lastRenderedPageBreak/>
        <w:t xml:space="preserve">утверждаются в составе реализуемых в школе основных образовательных программ.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5. При проведении промежуточной аттестации педагоги могут использовать только те оценочные (контрольно-измерительные) материалы, перечень и содержание которых утверждено в составе реализуемых в образовательной организации основных образовательных программ.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6. Результаты промежуточной аттестации фиксируются в классных и/или электронных журналах в соответствии с Положением о ведении электронного классного журнала.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>7. Фиксация результатов промежуточной аттестации осуществляется по пятибалльной шкале в соответствии с Положением о системе оценивания учебных достижений обучающихся. Фиксация результатов промежуточной аттестации обучающихся первого класса, а также промежуточной аттестации обучающихся по предмету «Основы религиозных культур и советской этики», элективным курсам, спецкурсам осуществляется по дихотомической системе (</w:t>
      </w:r>
      <w:proofErr w:type="gramStart"/>
      <w:r w:rsidRPr="00027C4C">
        <w:rPr>
          <w:rFonts w:ascii="Times New Roman" w:hAnsi="Times New Roman" w:cs="Times New Roman"/>
          <w:sz w:val="28"/>
        </w:rPr>
        <w:t>зачтено</w:t>
      </w:r>
      <w:proofErr w:type="gramEnd"/>
      <w:r w:rsidRPr="00027C4C">
        <w:rPr>
          <w:rFonts w:ascii="Times New Roman" w:hAnsi="Times New Roman" w:cs="Times New Roman"/>
          <w:sz w:val="28"/>
        </w:rPr>
        <w:t xml:space="preserve">/не зачтено).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8. Формами промежуточной аттестации в образовательной организации являются: стандартизированные контрольные работы; диктанты; изложения; сочинения, письменные или устные ответы на вопросы теста, билетов, результаты текущего контроля.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>9. Промежуточная аттестация обучающихся проводится: на уровне начального общего образования: 1 классы: фиксация результатов промежуточной аттестации обучающихся по всем предметам осуществляется по дихотомической системе (</w:t>
      </w:r>
      <w:proofErr w:type="gramStart"/>
      <w:r>
        <w:rPr>
          <w:rFonts w:ascii="Times New Roman" w:hAnsi="Times New Roman" w:cs="Times New Roman"/>
          <w:sz w:val="28"/>
        </w:rPr>
        <w:t>усвоил</w:t>
      </w:r>
      <w:proofErr w:type="gramEnd"/>
      <w:r>
        <w:rPr>
          <w:rFonts w:ascii="Times New Roman" w:hAnsi="Times New Roman" w:cs="Times New Roman"/>
          <w:sz w:val="28"/>
        </w:rPr>
        <w:t>/не усвоил</w:t>
      </w:r>
      <w:r w:rsidRPr="00027C4C">
        <w:rPr>
          <w:rFonts w:ascii="Times New Roman" w:hAnsi="Times New Roman" w:cs="Times New Roman"/>
          <w:sz w:val="28"/>
        </w:rPr>
        <w:t xml:space="preserve">). 2-4 классы - по всем предметам по итогам текущего контроля – среднее значение отметки, исходя из отметок по четвертям. Промежуточная аттестация по остальным учебным предметам, курсам, дисциплинам, модулям образовательных программ проводится по результатам текущего контроля успеваемости по четвертям (1-8 классы), полугодиям (10 класс). Отметка выводится как среднее арифметическое, округленное по законам математики до целого числа.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10. Списки аттестационных комиссий, даты экзаменов, консультаций утверждаются директором образовательной организации в срок до 05 мая. При составлении расписания экзаменов необходимо учитывать, что в день проводится только один экзамен, между двумя экзаменами должно быть не менее двух дней (исключая выходные дни). Аттестационная комиссия для промежуточной аттестации может состоять из двух преподавателей: экзаменующего учителя и ассистента.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11. Оценки за ответ при любой форме проведения промежуточной аттестации выставляются в соответствии с рекомендациями об оценивании знаний по каждому учебному предмету, отражающими требования федерального компонента государственного образовательного стандарта и (или) федерального государственного образовательного стандарта.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lastRenderedPageBreak/>
        <w:t xml:space="preserve">12. При пропуске </w:t>
      </w:r>
      <w:proofErr w:type="gramStart"/>
      <w:r w:rsidRPr="00027C4C">
        <w:rPr>
          <w:rFonts w:ascii="Times New Roman" w:hAnsi="Times New Roman" w:cs="Times New Roman"/>
          <w:sz w:val="28"/>
        </w:rPr>
        <w:t>обучающимся</w:t>
      </w:r>
      <w:proofErr w:type="gramEnd"/>
      <w:r w:rsidRPr="00027C4C">
        <w:rPr>
          <w:rFonts w:ascii="Times New Roman" w:hAnsi="Times New Roman" w:cs="Times New Roman"/>
          <w:sz w:val="28"/>
        </w:rPr>
        <w:t xml:space="preserve"> по уважительной причине более половины учебного времени, отводимого на изучение учебного предмета, курса, дисциплины, модуля обучающийся имеет право ходатайствовать о переносе срока проведения промежуточной аттестации. </w:t>
      </w:r>
      <w:proofErr w:type="gramStart"/>
      <w:r w:rsidRPr="00027C4C">
        <w:rPr>
          <w:rFonts w:ascii="Times New Roman" w:hAnsi="Times New Roman" w:cs="Times New Roman"/>
          <w:sz w:val="28"/>
        </w:rPr>
        <w:t xml:space="preserve">В этом случае срок проведения промежуточной аттестации определяется образовательной организацией с учетом учебного плана на основании заявления родителей (законных представителей) обучающегося и доводится до сведения обучающегося и родителей (законных представителей) в письменной форме не позднее 3- х рабочих дней с даты принятия решения, в том числе посредством факсимильной связи, электронной почты или другими видами почтовой связи. </w:t>
      </w:r>
      <w:proofErr w:type="gramEnd"/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13. Педагогические работники доводят до сведения родителей (законных представителей) сведения о результатах промежуточной аттестации обучающихся в соответствии с Положением о порядке ознакомления родителей (законных представителей) с ходом и содержанием образовательной деятельности и оценками обучающихся. </w:t>
      </w:r>
    </w:p>
    <w:p w:rsidR="00783FAD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28"/>
        </w:rPr>
      </w:pPr>
      <w:r w:rsidRPr="00027C4C">
        <w:rPr>
          <w:rFonts w:ascii="Times New Roman" w:hAnsi="Times New Roman" w:cs="Times New Roman"/>
          <w:sz w:val="28"/>
        </w:rPr>
        <w:t xml:space="preserve">14. Результаты промежуточной аттестации, зафиксированные в классных журналах, хранятся в образовательной организации в соответствии с Инструкцией по порядку ведения учебно-педагогической документации. </w:t>
      </w:r>
    </w:p>
    <w:p w:rsidR="00783FAD" w:rsidRPr="00027C4C" w:rsidRDefault="00783FAD" w:rsidP="00783FAD">
      <w:pPr>
        <w:pStyle w:val="aa"/>
        <w:ind w:left="0"/>
        <w:jc w:val="both"/>
        <w:rPr>
          <w:rFonts w:ascii="Times New Roman" w:hAnsi="Times New Roman" w:cs="Times New Roman"/>
          <w:sz w:val="36"/>
        </w:rPr>
      </w:pPr>
      <w:r w:rsidRPr="00027C4C">
        <w:rPr>
          <w:rFonts w:ascii="Times New Roman" w:hAnsi="Times New Roman" w:cs="Times New Roman"/>
          <w:sz w:val="28"/>
        </w:rPr>
        <w:t>15. Итоги промежуточной аттестации обсуждаются на заседаниях методических объединений и педагогического совета образовательной организации с целью принятия решений по обеспечению требуемого качества образования.</w:t>
      </w:r>
    </w:p>
    <w:p w:rsidR="00783FAD" w:rsidRPr="00BA255F" w:rsidRDefault="00783FAD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83FAD" w:rsidRDefault="00F60A00" w:rsidP="00783FAD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 w:rsidR="00783FAD">
        <w:rPr>
          <w:rStyle w:val="markedcontent"/>
          <w:rFonts w:asciiTheme="majorBidi" w:hAnsiTheme="majorBidi" w:cstheme="majorBidi"/>
          <w:sz w:val="28"/>
          <w:szCs w:val="28"/>
        </w:rPr>
        <w:t xml:space="preserve">   НОО</w:t>
      </w:r>
    </w:p>
    <w:p w:rsidR="00783FAD" w:rsidRDefault="00783FAD" w:rsidP="00783FAD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 г. Хабаровска «Средняя школа № 83»</w:t>
      </w:r>
    </w:p>
    <w:p w:rsidR="00BE0CF4" w:rsidRDefault="00783FAD" w:rsidP="00783FAD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на 2024-2025 учебный год (5 дневная рабочая неделя)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74"/>
        <w:gridCol w:w="2699"/>
        <w:gridCol w:w="627"/>
        <w:gridCol w:w="627"/>
        <w:gridCol w:w="627"/>
        <w:gridCol w:w="627"/>
        <w:gridCol w:w="627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</w:tblGrid>
      <w:tr w:rsidR="00BB11E9" w:rsidRPr="008E49ED">
        <w:tc>
          <w:tcPr>
            <w:tcW w:w="6000" w:type="dxa"/>
            <w:vMerge w:val="restart"/>
            <w:shd w:val="clear" w:color="auto" w:fill="D9D9D9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Учебный предмет/курс</w:t>
            </w:r>
          </w:p>
        </w:tc>
        <w:tc>
          <w:tcPr>
            <w:tcW w:w="12840" w:type="dxa"/>
            <w:gridSpan w:val="15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BB11E9" w:rsidRPr="008E49ED">
        <w:tc>
          <w:tcPr>
            <w:tcW w:w="856" w:type="dxa"/>
            <w:vMerge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vMerge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1а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1б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1в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1г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2а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2б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2в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2г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3а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3б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3в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3г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4а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4б</w:t>
            </w:r>
          </w:p>
        </w:tc>
        <w:tc>
          <w:tcPr>
            <w:tcW w:w="0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4в</w:t>
            </w:r>
          </w:p>
        </w:tc>
      </w:tr>
      <w:tr w:rsidR="00BB11E9" w:rsidRPr="008E49ED">
        <w:tc>
          <w:tcPr>
            <w:tcW w:w="14552" w:type="dxa"/>
            <w:gridSpan w:val="17"/>
            <w:shd w:val="clear" w:color="auto" w:fill="FFFFB3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Обязательная часть</w:t>
            </w:r>
          </w:p>
        </w:tc>
      </w:tr>
      <w:tr w:rsidR="00BB11E9" w:rsidRPr="008E49ED">
        <w:tc>
          <w:tcPr>
            <w:tcW w:w="856" w:type="dxa"/>
            <w:vMerge w:val="restart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Русский язык и литературное чтение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BB11E9" w:rsidRPr="008E49ED">
        <w:tc>
          <w:tcPr>
            <w:tcW w:w="856" w:type="dxa"/>
            <w:vMerge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Литературное чтение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Математика и информатика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Обществознание и естествознание ("окружающий мир")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Основы религиозных культур и светской этики</w:t>
            </w:r>
          </w:p>
        </w:tc>
        <w:tc>
          <w:tcPr>
            <w:tcW w:w="856" w:type="dxa"/>
          </w:tcPr>
          <w:p w:rsidR="00BB11E9" w:rsidRPr="008E49ED" w:rsidRDefault="00D53418" w:rsidP="008E49ED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 xml:space="preserve">Основы </w:t>
            </w:r>
            <w:r w:rsidR="008E49ED">
              <w:rPr>
                <w:rFonts w:ascii="Times New Roman" w:hAnsi="Times New Roman" w:cs="Times New Roman"/>
                <w:sz w:val="24"/>
              </w:rPr>
              <w:t>православной культуры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856" w:type="dxa"/>
            <w:vMerge w:val="restart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Искусство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Изобразительное искусство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856" w:type="dxa"/>
            <w:vMerge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856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00FF00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BB11E9" w:rsidRPr="008E49ED">
        <w:tc>
          <w:tcPr>
            <w:tcW w:w="14552" w:type="dxa"/>
            <w:gridSpan w:val="17"/>
            <w:shd w:val="clear" w:color="auto" w:fill="FFFFB3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Часть, формируемая участниками образовательных отношений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D9D9D9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Наименование учебного курса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B11E9" w:rsidRPr="008E49ED">
        <w:tc>
          <w:tcPr>
            <w:tcW w:w="1712" w:type="dxa"/>
            <w:gridSpan w:val="2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Смысловое чтение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00FF00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00FF00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FCE3FC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Количество учебных недель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BB11E9" w:rsidRPr="008E49ED">
        <w:tc>
          <w:tcPr>
            <w:tcW w:w="1712" w:type="dxa"/>
            <w:gridSpan w:val="2"/>
            <w:shd w:val="clear" w:color="auto" w:fill="FCE3FC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Всего часов в год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856" w:type="dxa"/>
            <w:shd w:val="clear" w:color="auto" w:fill="FCE3FC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782</w:t>
            </w:r>
          </w:p>
        </w:tc>
      </w:tr>
    </w:tbl>
    <w:p w:rsidR="00BB11E9" w:rsidRDefault="00D53418">
      <w:r>
        <w:br w:type="page"/>
      </w:r>
    </w:p>
    <w:p w:rsidR="00BB11E9" w:rsidRPr="00783FAD" w:rsidRDefault="00D53418" w:rsidP="00783FAD">
      <w:pPr>
        <w:jc w:val="center"/>
        <w:rPr>
          <w:rFonts w:ascii="Times New Roman" w:hAnsi="Times New Roman" w:cs="Times New Roman"/>
        </w:rPr>
      </w:pPr>
      <w:r w:rsidRPr="00783FAD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  <w:r w:rsidR="005763E9">
        <w:rPr>
          <w:rFonts w:ascii="Times New Roman" w:hAnsi="Times New Roman" w:cs="Times New Roman"/>
          <w:b/>
          <w:sz w:val="32"/>
        </w:rPr>
        <w:t xml:space="preserve"> НОО</w:t>
      </w:r>
    </w:p>
    <w:p w:rsidR="008E49ED" w:rsidRDefault="008E49ED" w:rsidP="00DC522E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 г. Хабаровска «Средняя школа № 83»</w:t>
      </w:r>
    </w:p>
    <w:p w:rsidR="008E49ED" w:rsidRDefault="008E49ED" w:rsidP="008E49ED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на 2024-2025 учебный год (5 дневная рабочая неделя)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12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</w:tblGrid>
      <w:tr w:rsidR="00BB11E9" w:rsidRPr="008E49ED">
        <w:tc>
          <w:tcPr>
            <w:tcW w:w="1712" w:type="dxa"/>
            <w:vMerge w:val="restart"/>
            <w:shd w:val="clear" w:color="auto" w:fill="D9D9D9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Учебные курсы</w:t>
            </w:r>
          </w:p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40" w:type="dxa"/>
            <w:gridSpan w:val="15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</w:tr>
      <w:tr w:rsidR="00BB11E9" w:rsidRPr="008E49ED">
        <w:tc>
          <w:tcPr>
            <w:tcW w:w="1712" w:type="dxa"/>
            <w:vMerge/>
          </w:tcPr>
          <w:p w:rsidR="00BB11E9" w:rsidRPr="008E49ED" w:rsidRDefault="00BB11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1а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1б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1в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1г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2а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2б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2в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2г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3а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3б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3в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3г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4а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4б</w:t>
            </w:r>
          </w:p>
        </w:tc>
        <w:tc>
          <w:tcPr>
            <w:tcW w:w="856" w:type="dxa"/>
            <w:shd w:val="clear" w:color="auto" w:fill="D9D9D9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b/>
                <w:sz w:val="24"/>
              </w:rPr>
              <w:t>4в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 xml:space="preserve">Разговоры о </w:t>
            </w:r>
            <w:proofErr w:type="gramStart"/>
            <w:r w:rsidRPr="008E49ED">
              <w:rPr>
                <w:rFonts w:ascii="Times New Roman" w:hAnsi="Times New Roman" w:cs="Times New Roman"/>
                <w:sz w:val="24"/>
              </w:rPr>
              <w:t>важном</w:t>
            </w:r>
            <w:proofErr w:type="gramEnd"/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Финансовая грамотность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Россия мои горизонты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E49ED">
              <w:rPr>
                <w:rFonts w:ascii="Times New Roman" w:hAnsi="Times New Roman" w:cs="Times New Roman"/>
                <w:sz w:val="24"/>
              </w:rPr>
              <w:t>Грамотей</w:t>
            </w:r>
            <w:proofErr w:type="gramEnd"/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Умники и Умницы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Город мастеров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Ритмика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Подвижные игры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Орлята России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Я и окружающий мир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6" w:type="dxa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B11E9" w:rsidRPr="008E49ED">
        <w:tc>
          <w:tcPr>
            <w:tcW w:w="1712" w:type="dxa"/>
            <w:shd w:val="clear" w:color="auto" w:fill="00FF00"/>
          </w:tcPr>
          <w:p w:rsidR="00BB11E9" w:rsidRPr="008E49ED" w:rsidRDefault="00D53418">
            <w:pPr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56" w:type="dxa"/>
            <w:shd w:val="clear" w:color="auto" w:fill="00FF00"/>
          </w:tcPr>
          <w:p w:rsidR="00BB11E9" w:rsidRPr="008E49ED" w:rsidRDefault="00D534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9ED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D53418" w:rsidRDefault="00D53418"/>
    <w:sectPr w:rsidR="00D5341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55E1D"/>
    <w:multiLevelType w:val="hybridMultilevel"/>
    <w:tmpl w:val="1590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68C8"/>
    <w:rsid w:val="00217E91"/>
    <w:rsid w:val="00225702"/>
    <w:rsid w:val="00226645"/>
    <w:rsid w:val="00270402"/>
    <w:rsid w:val="002A12FF"/>
    <w:rsid w:val="002A5D25"/>
    <w:rsid w:val="002C075A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763E9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65B60"/>
    <w:rsid w:val="00771952"/>
    <w:rsid w:val="00783FAD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8E49ED"/>
    <w:rsid w:val="00925426"/>
    <w:rsid w:val="00943325"/>
    <w:rsid w:val="00963708"/>
    <w:rsid w:val="0099304C"/>
    <w:rsid w:val="00996DF6"/>
    <w:rsid w:val="009A3F64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11E9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D6DE0"/>
    <w:rsid w:val="00D0701D"/>
    <w:rsid w:val="00D07CCC"/>
    <w:rsid w:val="00D16267"/>
    <w:rsid w:val="00D213E7"/>
    <w:rsid w:val="00D339A5"/>
    <w:rsid w:val="00D52398"/>
    <w:rsid w:val="00D53418"/>
    <w:rsid w:val="00D711D7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5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5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2024-06-11T06:56:00Z</cp:lastPrinted>
  <dcterms:created xsi:type="dcterms:W3CDTF">2024-04-20T03:53:00Z</dcterms:created>
  <dcterms:modified xsi:type="dcterms:W3CDTF">2024-10-03T06:32:00Z</dcterms:modified>
</cp:coreProperties>
</file>